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60" w:line="240" w:lineRule="auto"/>
        <w:contextualSpacing w:val="0"/>
        <w:jc w:val="center"/>
        <w:rPr>
          <w:rFonts w:ascii="Rubik" w:cs="Rubik" w:eastAsia="Rubik" w:hAnsi="Rubik"/>
          <w:sz w:val="52"/>
          <w:szCs w:val="52"/>
        </w:rPr>
      </w:pPr>
      <w:r w:rsidDel="00000000" w:rsidR="00000000" w:rsidRPr="00000000">
        <w:rPr>
          <w:rFonts w:ascii="Rubik" w:cs="Rubik" w:eastAsia="Rubik" w:hAnsi="Rubik"/>
          <w:sz w:val="52"/>
          <w:szCs w:val="52"/>
          <w:rtl w:val="0"/>
        </w:rPr>
        <w:t xml:space="preserve">Jak tworzyć dostępne materiały edukacyjne? 10 zagadnień</w:t>
      </w:r>
    </w:p>
    <w:p w:rsidR="00000000" w:rsidDel="00000000" w:rsidP="00000000" w:rsidRDefault="00000000" w:rsidRPr="00000000" w14:paraId="00000001">
      <w:pPr>
        <w:spacing w:after="60" w:line="240" w:lineRule="auto"/>
        <w:contextualSpacing w:val="0"/>
        <w:jc w:val="center"/>
        <w:rPr>
          <w:rFonts w:ascii="Rubik" w:cs="Rubik" w:eastAsia="Rubik" w:hAnsi="Rubik"/>
          <w:b w:val="1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Dorota Orzeszek</w:t>
      </w:r>
    </w:p>
    <w:p w:rsidR="00000000" w:rsidDel="00000000" w:rsidP="00000000" w:rsidRDefault="00000000" w:rsidRPr="00000000" w14:paraId="00000002">
      <w:pPr>
        <w:numPr>
          <w:ilvl w:val="0"/>
          <w:numId w:val="10"/>
        </w:numPr>
        <w:spacing w:after="120" w:before="400" w:line="240" w:lineRule="auto"/>
        <w:ind w:left="720" w:hanging="360"/>
        <w:contextualSpacing w:val="1"/>
        <w:rPr>
          <w:rFonts w:ascii="Rubik" w:cs="Rubik" w:eastAsia="Rubik" w:hAnsi="Rubik"/>
          <w:sz w:val="40"/>
          <w:szCs w:val="40"/>
          <w:u w:val="none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Projektowanie informacji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Struktura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4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architektura informacji określa strukturę publikacji i jej załączników,</w:t>
      </w:r>
    </w:p>
    <w:p w:rsidR="00000000" w:rsidDel="00000000" w:rsidP="00000000" w:rsidRDefault="00000000" w:rsidRPr="00000000" w14:paraId="00000005">
      <w:pPr>
        <w:numPr>
          <w:ilvl w:val="0"/>
          <w:numId w:val="14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tworzenie architektury informacji materiałów edukacyjnych najlepiej rozpocząć od zaplanowania, co i jak chcesz przekazać w publikacji,</w:t>
      </w:r>
    </w:p>
    <w:p w:rsidR="00000000" w:rsidDel="00000000" w:rsidP="00000000" w:rsidRDefault="00000000" w:rsidRPr="00000000" w14:paraId="00000006">
      <w:pPr>
        <w:numPr>
          <w:ilvl w:val="0"/>
          <w:numId w:val="14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architektura informacji obejmuje zarówno konspekt tekstu, jak i wszystkie przewidziane elementy uzupełniające, np. wykresy, pliki multimedialne, ilustracje, zadania.</w:t>
      </w:r>
    </w:p>
    <w:p w:rsidR="00000000" w:rsidDel="00000000" w:rsidP="00000000" w:rsidRDefault="00000000" w:rsidRPr="00000000" w14:paraId="00000007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Celowość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ważne, żeby każdy element publikacji służył określonemu celowi – dotyczy to zarówno rozdziałów czy poszczególnych akapitów tekstu, jak i wykresów oraz ilustracji,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nie zamieszczaj elementów, którym nie potrafisz przyporządkować żadnego istotnego i konkretnego celu, np. elementów ozdobnych.</w:t>
      </w:r>
    </w:p>
    <w:p w:rsidR="00000000" w:rsidDel="00000000" w:rsidP="00000000" w:rsidRDefault="00000000" w:rsidRPr="00000000" w14:paraId="0000000A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Przejrzystość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6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istotne, żeby struktura publikacji była przejrzysta i zrozumiała dla osoby nieposiadającej jeszcze wiedzy z danej dziedziny,</w:t>
      </w:r>
    </w:p>
    <w:p w:rsidR="00000000" w:rsidDel="00000000" w:rsidP="00000000" w:rsidRDefault="00000000" w:rsidRPr="00000000" w14:paraId="0000000C">
      <w:pPr>
        <w:numPr>
          <w:ilvl w:val="0"/>
          <w:numId w:val="16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wykresy, ilustracje itp. zamieszczaj w bezpośrednim sąsiedztwie tekstu, który ich dotyczy.</w:t>
      </w:r>
    </w:p>
    <w:p w:rsidR="00000000" w:rsidDel="00000000" w:rsidP="00000000" w:rsidRDefault="00000000" w:rsidRPr="00000000" w14:paraId="0000000D">
      <w:pPr>
        <w:spacing w:after="120" w:before="400" w:line="240" w:lineRule="auto"/>
        <w:contextualSpacing w:val="0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2. Układ tekstu/nagłówki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Logiczne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pamiętaj, żeby układ tytułów i nagłówków odwzorowywał założenia wybranej architektury informacji,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upewnij się, że lista nagłówków układa się w czytelny spis treści, dający pełen obraz zawartości publikacji.</w:t>
      </w:r>
    </w:p>
    <w:p w:rsidR="00000000" w:rsidDel="00000000" w:rsidP="00000000" w:rsidRDefault="00000000" w:rsidRPr="00000000" w14:paraId="00000011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Jednoznaczne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9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zwróć uwagę, żeby nagłówki jednoznacznie określały treść danego rozdziału,</w:t>
      </w:r>
    </w:p>
    <w:p w:rsidR="00000000" w:rsidDel="00000000" w:rsidP="00000000" w:rsidRDefault="00000000" w:rsidRPr="00000000" w14:paraId="00000013">
      <w:pPr>
        <w:numPr>
          <w:ilvl w:val="0"/>
          <w:numId w:val="19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 nagłówkach nie stosuj figur stylistycznych (np. metafor, porównań).</w:t>
      </w:r>
    </w:p>
    <w:p w:rsidR="00000000" w:rsidDel="00000000" w:rsidP="00000000" w:rsidRDefault="00000000" w:rsidRPr="00000000" w14:paraId="00000014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Zwięzłe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0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twórz zwięzłe nagłówki, zajmujące jedną linię tekstu, maksymalnie dwie (to oznacza, że masz do dyspozycji zaledwie kilka słów),</w:t>
      </w:r>
    </w:p>
    <w:p w:rsidR="00000000" w:rsidDel="00000000" w:rsidP="00000000" w:rsidRDefault="00000000" w:rsidRPr="00000000" w14:paraId="00000016">
      <w:pPr>
        <w:numPr>
          <w:ilvl w:val="0"/>
          <w:numId w:val="20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nie formułuj nagłówków jako pełnych zdań,</w:t>
      </w:r>
    </w:p>
    <w:p w:rsidR="00000000" w:rsidDel="00000000" w:rsidP="00000000" w:rsidRDefault="00000000" w:rsidRPr="00000000" w14:paraId="00000017">
      <w:pPr>
        <w:numPr>
          <w:ilvl w:val="0"/>
          <w:numId w:val="20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nie stosuj powtórzeń, zbędnych epitetów itp.</w:t>
      </w:r>
    </w:p>
    <w:p w:rsidR="00000000" w:rsidDel="00000000" w:rsidP="00000000" w:rsidRDefault="00000000" w:rsidRPr="00000000" w14:paraId="00000018">
      <w:pPr>
        <w:spacing w:after="120" w:before="400" w:line="240" w:lineRule="auto"/>
        <w:contextualSpacing w:val="0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3. Język/słownictwo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Prosty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5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 materiałach edukacyjnych najważniejsze jest dostarczanie wiedzy, a nie kształtowanie umiejętności językowych, </w:t>
      </w:r>
    </w:p>
    <w:p w:rsidR="00000000" w:rsidDel="00000000" w:rsidP="00000000" w:rsidRDefault="00000000" w:rsidRPr="00000000" w14:paraId="0000001B">
      <w:pPr>
        <w:numPr>
          <w:ilvl w:val="0"/>
          <w:numId w:val="25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najlepiej jest uprościć słownictwo i ograniczyć skomplikowane konstrukcje gramatyczne,</w:t>
      </w:r>
    </w:p>
    <w:p w:rsidR="00000000" w:rsidDel="00000000" w:rsidP="00000000" w:rsidRDefault="00000000" w:rsidRPr="00000000" w14:paraId="0000001C">
      <w:pPr>
        <w:numPr>
          <w:ilvl w:val="0"/>
          <w:numId w:val="25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unikaj zdań wielokrotnie złożonych i licznych wtrąceń. </w:t>
      </w:r>
    </w:p>
    <w:p w:rsidR="00000000" w:rsidDel="00000000" w:rsidP="00000000" w:rsidRDefault="00000000" w:rsidRPr="00000000" w14:paraId="0000001D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Zwięzły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1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gotowy tekst publikacji postaraj się w korekcie maksymalnie skrócić,</w:t>
      </w:r>
    </w:p>
    <w:p w:rsidR="00000000" w:rsidDel="00000000" w:rsidP="00000000" w:rsidRDefault="00000000" w:rsidRPr="00000000" w14:paraId="0000001F">
      <w:pPr>
        <w:numPr>
          <w:ilvl w:val="0"/>
          <w:numId w:val="21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usuń powtórzenia i dodatkowe epitety,</w:t>
      </w:r>
    </w:p>
    <w:p w:rsidR="00000000" w:rsidDel="00000000" w:rsidP="00000000" w:rsidRDefault="00000000" w:rsidRPr="00000000" w14:paraId="00000020">
      <w:pPr>
        <w:numPr>
          <w:ilvl w:val="0"/>
          <w:numId w:val="21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jeśli chcesz podkreślić ważne kwestie, skorzystaj ze środków wizualnych, np. pogrubienia, kursywy.</w:t>
      </w:r>
    </w:p>
    <w:p w:rsidR="00000000" w:rsidDel="00000000" w:rsidP="00000000" w:rsidRDefault="00000000" w:rsidRPr="00000000" w14:paraId="00000021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Dostosowany do wieku czytelnika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to bardzo ważne, żeby język publikacji edukacyjnej dobrać do wieku i umiejętności czytelnika, czytelniczki,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publikacje dla starszych nastolatków raczej nie różnią się od tych dla dorosłych,</w:t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kierując materiały do młodszych odbiorców, spróbuj odpowiednio uprościć używane słownictwo i konstrukcje,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materiały dla młodszych dzieci warto skonsultować z pedagogiem edukacji wczesnoszkolnej, który będzie miał lepszy obraz typowych umiejętności dzieci w tym wieku.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400" w:line="240" w:lineRule="auto"/>
        <w:contextualSpacing w:val="0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4. Czcionka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Krój pisma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 materiałach elektronicznych najlepiej stosować czcionki bezszeryfowe,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 materiałach przeznaczonych do druku możesz stosować czcionki szeryfowe (choć nagłówki warto pozostawić bezszeryfowe).</w:t>
      </w:r>
    </w:p>
    <w:p w:rsidR="00000000" w:rsidDel="00000000" w:rsidP="00000000" w:rsidRDefault="00000000" w:rsidRPr="00000000" w14:paraId="0000002B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Prostota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wybieraj proste, „nieudziwnione” kroje pisma,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 materiałach przeznaczonych dla dzieci stosuj proste kroje pisma dla ułatwienia czytania.</w:t>
      </w:r>
    </w:p>
    <w:p w:rsidR="00000000" w:rsidDel="00000000" w:rsidP="00000000" w:rsidRDefault="00000000" w:rsidRPr="00000000" w14:paraId="0000002E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Rozmiar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2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 przypadku skalowalnych materiałów (np. stron WWW) rozmiar czcionki nie jest istotny, ponieważ odbiorca może powiększyć widok strony w przeglądarce,</w:t>
      </w:r>
    </w:p>
    <w:p w:rsidR="00000000" w:rsidDel="00000000" w:rsidP="00000000" w:rsidRDefault="00000000" w:rsidRPr="00000000" w14:paraId="00000030">
      <w:pPr>
        <w:numPr>
          <w:ilvl w:val="0"/>
          <w:numId w:val="22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 materiałach przeznaczonych do druku stosuj „standardowe” rozmiary czcionki – ok. 12 pkt.,</w:t>
      </w:r>
    </w:p>
    <w:p w:rsidR="00000000" w:rsidDel="00000000" w:rsidP="00000000" w:rsidRDefault="00000000" w:rsidRPr="00000000" w14:paraId="00000031">
      <w:pPr>
        <w:numPr>
          <w:ilvl w:val="0"/>
          <w:numId w:val="22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 materiałach przeznaczonych do druku i wypełniania ręcznego (np. karty pracy dla uczniów) zastosuj nieco większe czcionki i zadbaj o wprowadzenie wyraźnych odstępów między poszczególnymi pytaniami/zadaniami.</w:t>
      </w:r>
    </w:p>
    <w:p w:rsidR="00000000" w:rsidDel="00000000" w:rsidP="00000000" w:rsidRDefault="00000000" w:rsidRPr="00000000" w14:paraId="00000032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Wyróżnienia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7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jeśli chcesz podkreślić ważne kwestie, zastosuj wyróżnienia, np. pogrubienie, kursywę</w:t>
      </w:r>
    </w:p>
    <w:p w:rsidR="00000000" w:rsidDel="00000000" w:rsidP="00000000" w:rsidRDefault="00000000" w:rsidRPr="00000000" w14:paraId="00000034">
      <w:pPr>
        <w:numPr>
          <w:ilvl w:val="0"/>
          <w:numId w:val="17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pamiętaj jednak, żeby być w tej kwestii oszczędnym – cały akapit pisany kursywą lub pogrubieniem staje się nieczytelny.</w:t>
      </w:r>
    </w:p>
    <w:p w:rsidR="00000000" w:rsidDel="00000000" w:rsidP="00000000" w:rsidRDefault="00000000" w:rsidRPr="00000000" w14:paraId="00000035">
      <w:pPr>
        <w:spacing w:after="120" w:before="400" w:line="240" w:lineRule="auto"/>
        <w:contextualSpacing w:val="0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5. Kolory/kontrast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Kontrast kolorystyczny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współczynnik kontrastu można obliczyć za pomocą kalkulatora, np. </w:t>
      </w:r>
      <w:hyperlink r:id="rId6">
        <w:r w:rsidDel="00000000" w:rsidR="00000000" w:rsidRPr="00000000">
          <w:rPr>
            <w:rFonts w:ascii="Rubik" w:cs="Rubik" w:eastAsia="Rubik" w:hAnsi="Rubik"/>
            <w:color w:val="1155cc"/>
            <w:u w:val="single"/>
            <w:rtl w:val="0"/>
          </w:rPr>
          <w:t xml:space="preserve">http://contrast-ratio.com/</w:t>
        </w:r>
      </w:hyperlink>
      <w:r w:rsidDel="00000000" w:rsidR="00000000" w:rsidRPr="00000000">
        <w:rPr>
          <w:rFonts w:ascii="Rubik" w:cs="Rubik" w:eastAsia="Rubik" w:hAnsi="Rubik"/>
          <w:rtl w:val="0"/>
        </w:rPr>
        <w:t xml:space="preserve">,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zadbaj, żeby współczynnik kontrastu kolorystycznego pomiędzy kolorem tekstu a tła wynosił co najmniej 4.5, a najlepiej powyżej 7.0,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kontrast kolorystyczny nagłówków może być nieznacznie niższy niż głównego tekstu,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wydrukuj publikację na czarno-białej drukarce – jeśli niektóre kolory tekstu i tła tylko nieznacznie się różnią, to dla wielu osób mogą być nierozróżnialne.</w:t>
      </w:r>
    </w:p>
    <w:p w:rsidR="00000000" w:rsidDel="00000000" w:rsidP="00000000" w:rsidRDefault="00000000" w:rsidRPr="00000000" w14:paraId="0000003B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Dobre i złe pary kolorów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biały i czarny – dobra, bardzo wysoki kontrast, standardowe, wygodne do czytania połączenie kolorów,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żółty i czarny – dobra do podkreślenia szczególnie ważnych informacji, bardzo wysoki kontrast, raczej nie do większych partii tekstu,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czerwony i czarny – zła, osoby o upośledzonym widzeniu kolorów często mają trudności z odczytaniem czerwonego tekstu na czarnym tle (lepiej: żółty i czarny lub pomarańczowy i czarny),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zielony i czerwony – zła, mały kontrast pomiędzy kolorami,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biel i jasnoniebieski – zła, mały kontrast pomiędzy kolorami.</w:t>
      </w:r>
    </w:p>
    <w:p w:rsidR="00000000" w:rsidDel="00000000" w:rsidP="00000000" w:rsidRDefault="00000000" w:rsidRPr="00000000" w14:paraId="00000041">
      <w:pPr>
        <w:spacing w:after="120" w:before="400" w:line="240" w:lineRule="auto"/>
        <w:contextualSpacing w:val="0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6. Tła i grafiki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Jednolite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3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pamiętaj, że tło dla tekstu może stanowić jednolity kolor, ewentualnie gradient,</w:t>
      </w:r>
    </w:p>
    <w:p w:rsidR="00000000" w:rsidDel="00000000" w:rsidP="00000000" w:rsidRDefault="00000000" w:rsidRPr="00000000" w14:paraId="00000044">
      <w:pPr>
        <w:numPr>
          <w:ilvl w:val="0"/>
          <w:numId w:val="23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nie zamieszczaj zdjęć ani obrazów w tle o ile nie nałoży się na nie silnego filtra przyciemniającego/rozjaśniającego i niwelującego różnice w kontraście elementów obrazu.</w:t>
      </w:r>
    </w:p>
    <w:p w:rsidR="00000000" w:rsidDel="00000000" w:rsidP="00000000" w:rsidRDefault="00000000" w:rsidRPr="00000000" w14:paraId="00000045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Nieabsorbujące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tło nie może odciągać uwagi czytelnika, czytelniczki od tekstu,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postaraj się ograniczyć grafiki i elementy dekoracyjne do minimum,</w:t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nie używaj animacji, nagrań audio czy wideo w charakterze wyłącznie dekoracyjnym.</w:t>
      </w:r>
    </w:p>
    <w:p w:rsidR="00000000" w:rsidDel="00000000" w:rsidP="00000000" w:rsidRDefault="00000000" w:rsidRPr="00000000" w14:paraId="00000049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Tekst jako grafika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8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to bardzo ważne – nigdy nie używaj grafik do przedstawiania tekstów (np. nigdy nie zamieszczaj zdjęć tekstu zamiast prawdziwego tekstu na stronie WWW), gdyż oprogramowanie asystujące nie jest w stanie takiego tekstu odczytać,</w:t>
      </w:r>
    </w:p>
    <w:p w:rsidR="00000000" w:rsidDel="00000000" w:rsidP="00000000" w:rsidRDefault="00000000" w:rsidRPr="00000000" w14:paraId="0000004B">
      <w:pPr>
        <w:numPr>
          <w:ilvl w:val="0"/>
          <w:numId w:val="18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stosując zabezpieczenia typu CAPTCHA, pamiętaj, żeby zawsze zapewnić metodę obsługi zabezpieczenia dla osób niewidomych i niedowidzących mających trudności z rozpoznawaniem obrazów.</w:t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400" w:line="240" w:lineRule="auto"/>
        <w:contextualSpacing w:val="0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7. Wykresy/diagramy/tabele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Opisy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wszystkie wykresy, diagramy i tabele trzeba opatrzyć tekstem alternatywnym i/lub streścić w tekście głównym publikacji,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pamiętaj, żeby wykresy i diagramy wyjaśnić i zinterpretować widoczne na nich dane również w tekście głównym publikacji.</w:t>
      </w:r>
    </w:p>
    <w:p w:rsidR="00000000" w:rsidDel="00000000" w:rsidP="00000000" w:rsidRDefault="00000000" w:rsidRPr="00000000" w14:paraId="00000053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Widoczność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6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ważne, żeby kategorie przedstawione na wykresie były oznaczone kolorami różniącymi się jasnością, a nie tylko barwą, aby ułatwić rozróżnienie ich osobom niewidzącym kolorów (np. skala szarości, żółty – pomarańczowy – czerwony, ale nie zielony – niebieski – czerwony),</w:t>
      </w:r>
    </w:p>
    <w:p w:rsidR="00000000" w:rsidDel="00000000" w:rsidP="00000000" w:rsidRDefault="00000000" w:rsidRPr="00000000" w14:paraId="00000055">
      <w:pPr>
        <w:numPr>
          <w:ilvl w:val="0"/>
          <w:numId w:val="26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pamiętaj, żeby wykresy i diagramy miały etykiety z nazwami kategorii oraz wartościami dla danej kategorii na „słupkach”, tak aby możliwe było odczytanie ich przez osoby nierozróżniające kolorów w legendzie lub mające trudności z przeliczeniem wartości na skali,</w:t>
      </w:r>
    </w:p>
    <w:p w:rsidR="00000000" w:rsidDel="00000000" w:rsidP="00000000" w:rsidRDefault="00000000" w:rsidRPr="00000000" w14:paraId="00000056">
      <w:pPr>
        <w:numPr>
          <w:ilvl w:val="0"/>
          <w:numId w:val="26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dla wykresów liniowych używaj różnych stylów/grubości linii zamiast kolorów.</w:t>
      </w:r>
    </w:p>
    <w:p w:rsidR="00000000" w:rsidDel="00000000" w:rsidP="00000000" w:rsidRDefault="00000000" w:rsidRPr="00000000" w14:paraId="00000057">
      <w:pPr>
        <w:spacing w:after="120" w:before="400" w:line="240" w:lineRule="auto"/>
        <w:contextualSpacing w:val="0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8. Timery i ograniczenia czasowe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Materiały z limitem czasu reakcji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7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 miarę możliwości unikaj stosowania mediów ograniczonych czasowo, gdyż są one w dużej mierze niedostępne dla użytkowników korzystających z technologii asystujących, niesprawnych ruchowo czy nieobeznanych z technologią,</w:t>
      </w:r>
    </w:p>
    <w:p w:rsidR="00000000" w:rsidDel="00000000" w:rsidP="00000000" w:rsidRDefault="00000000" w:rsidRPr="00000000" w14:paraId="0000005A">
      <w:pPr>
        <w:numPr>
          <w:ilvl w:val="0"/>
          <w:numId w:val="27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dobrym rozwiązaniem przy treściach, które wymagają reakcji odbiorcy, a są z limitem czasu wyświetlania, jest dodanie w interfejsie przycisku pozwalającego na przedłużenie czasu wyświetlania materiałów (np. przycisk „potrzebuję więcej czasu”).</w:t>
      </w:r>
    </w:p>
    <w:p w:rsidR="00000000" w:rsidDel="00000000" w:rsidP="00000000" w:rsidRDefault="00000000" w:rsidRPr="00000000" w14:paraId="0000005B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Quizy z limitem czasu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gdy konieczne jest ograniczenie czasu rozwiązywania zadania, ustaw wyższy niż w „realnym świecie” limit czasu, aby umożliwić osobom korzystającym z technologii asystujących zapoznanie się z całą treścią,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zapewnij możliwość podjęcia więcej niż 1 próby uzupełnienia quizu, aby w razie problemów technicznych, nie przepadała szansa zaliczenia testu.</w:t>
      </w:r>
    </w:p>
    <w:p w:rsidR="00000000" w:rsidDel="00000000" w:rsidP="00000000" w:rsidRDefault="00000000" w:rsidRPr="00000000" w14:paraId="0000005E">
      <w:pPr>
        <w:spacing w:after="120" w:before="400" w:line="240" w:lineRule="auto"/>
        <w:contextualSpacing w:val="0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9. Teksty alternatywne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Elementy graficzne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4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pamiętaj, żeby grafiki opisywać zwięzłym tekstem alternatywnym lub zamieszczać opis w tekście głównym publikacji (np. https://en.wikipedia.org/wiki/Wikipedia:Manual_of_Style/Accessibility/Alternative_text_for_images)</w:t>
      </w:r>
    </w:p>
    <w:p w:rsidR="00000000" w:rsidDel="00000000" w:rsidP="00000000" w:rsidRDefault="00000000" w:rsidRPr="00000000" w14:paraId="00000061">
      <w:pPr>
        <w:numPr>
          <w:ilvl w:val="0"/>
          <w:numId w:val="24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zwróć uwagę, że tekst alternatywny nie jest opisem grafiki/wykresu, ale jego streszczeniem,</w:t>
      </w:r>
    </w:p>
    <w:p w:rsidR="00000000" w:rsidDel="00000000" w:rsidP="00000000" w:rsidRDefault="00000000" w:rsidRPr="00000000" w14:paraId="00000062">
      <w:pPr>
        <w:numPr>
          <w:ilvl w:val="0"/>
          <w:numId w:val="24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najlepiej, żeby tekst alternatywny miał długość co najwyżej jednego zdania i w skrócie podawał widoczne na rysunku/wykresie istotne dla publikacji informacje,</w:t>
      </w:r>
    </w:p>
    <w:p w:rsidR="00000000" w:rsidDel="00000000" w:rsidP="00000000" w:rsidRDefault="00000000" w:rsidRPr="00000000" w14:paraId="00000063">
      <w:pPr>
        <w:numPr>
          <w:ilvl w:val="0"/>
          <w:numId w:val="24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zwróć uwagę, żeby grafiki i elementy wyłącznie dekoracyjne opatrzyć pustym tekstem alternatywnym (alt text = "") – to nie jest to samo, co brak tekstu alternatywnego. </w:t>
      </w:r>
    </w:p>
    <w:p w:rsidR="00000000" w:rsidDel="00000000" w:rsidP="00000000" w:rsidRDefault="00000000" w:rsidRPr="00000000" w14:paraId="00000064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Elementy multimedialne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do nagrań audio w miarę możliwości dołącz ich transkrypcję lub streść nagranie w tekście głównym publikacji,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do nagrań wideo w miarę możliwości zapewnij napisy lub streść nagranie w tekście głównym publikacji,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jeśli nagranie wideo zamieszczone jest w jednym z ogólnodostępnych serwisów wideo, często możliwe jest automatyczne generowanie do niego napisów – wtedy nie musisz samodzielnie ich przygotowywać.</w:t>
      </w:r>
    </w:p>
    <w:p w:rsidR="00000000" w:rsidDel="00000000" w:rsidP="00000000" w:rsidRDefault="00000000" w:rsidRPr="00000000" w14:paraId="00000068">
      <w:pPr>
        <w:spacing w:after="120" w:before="400" w:line="240" w:lineRule="auto"/>
        <w:contextualSpacing w:val="0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10. Kompatybilność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360" w:line="240" w:lineRule="auto"/>
        <w:contextualSpacing w:val="0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Fonts w:ascii="Rubik" w:cs="Rubik" w:eastAsia="Rubik" w:hAnsi="Rubik"/>
          <w:sz w:val="32"/>
          <w:szCs w:val="32"/>
          <w:rtl w:val="0"/>
        </w:rPr>
        <w:t xml:space="preserve">Dostępność technologiczna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5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ważne, żeby w materiałach edukacyjnych nie wykorzystywać najnowszych technologii, działających tylko na najnowszych wersjach przeglądarek internetowych, komputerach o dużej ilości pamięci itd.,</w:t>
      </w:r>
    </w:p>
    <w:p w:rsidR="00000000" w:rsidDel="00000000" w:rsidP="00000000" w:rsidRDefault="00000000" w:rsidRPr="00000000" w14:paraId="0000006B">
      <w:pPr>
        <w:numPr>
          <w:ilvl w:val="0"/>
          <w:numId w:val="15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najlepiej, żeby materiały w formie webowej działały we wszystkich podstawowych przeglądarkach internetowych (Firefox, Chrome, Internet Explorer),</w:t>
      </w:r>
    </w:p>
    <w:p w:rsidR="00000000" w:rsidDel="00000000" w:rsidP="00000000" w:rsidRDefault="00000000" w:rsidRPr="00000000" w14:paraId="0000006C">
      <w:pPr>
        <w:numPr>
          <w:ilvl w:val="0"/>
          <w:numId w:val="15"/>
        </w:numPr>
        <w:spacing w:after="0" w:line="240" w:lineRule="auto"/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unikaj rozwiązań wymagających dużego zużycia danych (np. wideo UHD),</w:t>
      </w:r>
    </w:p>
    <w:p w:rsidR="00000000" w:rsidDel="00000000" w:rsidP="00000000" w:rsidRDefault="00000000" w:rsidRPr="00000000" w14:paraId="0000006D">
      <w:pPr>
        <w:spacing w:after="120" w:before="400" w:line="240" w:lineRule="auto"/>
        <w:contextualSpacing w:val="0"/>
        <w:rPr>
          <w:rFonts w:ascii="Rubik" w:cs="Rubik" w:eastAsia="Rubik" w:hAnsi="Rubik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400" w:line="240" w:lineRule="auto"/>
        <w:contextualSpacing w:val="0"/>
        <w:rPr>
          <w:rFonts w:ascii="Rubik" w:cs="Rubik" w:eastAsia="Rubik" w:hAnsi="Rubik"/>
          <w:sz w:val="40"/>
          <w:szCs w:val="40"/>
        </w:rPr>
      </w:pPr>
      <w:r w:rsidDel="00000000" w:rsidR="00000000" w:rsidRPr="00000000">
        <w:rPr>
          <w:rFonts w:ascii="Rubik" w:cs="Rubik" w:eastAsia="Rubik" w:hAnsi="Rubik"/>
          <w:sz w:val="40"/>
          <w:szCs w:val="40"/>
          <w:rtl w:val="0"/>
        </w:rPr>
        <w:t xml:space="preserve">Linki</w:t>
      </w:r>
    </w:p>
    <w:p w:rsidR="00000000" w:rsidDel="00000000" w:rsidP="00000000" w:rsidRDefault="00000000" w:rsidRPr="00000000" w14:paraId="0000006F">
      <w:pPr>
        <w:spacing w:after="120" w:before="400" w:line="240" w:lineRule="auto"/>
        <w:contextualSpacing w:val="0"/>
        <w:rPr>
          <w:rFonts w:ascii="Rubik" w:cs="Rubik" w:eastAsia="Rubik" w:hAnsi="Rubik"/>
          <w:sz w:val="40"/>
          <w:szCs w:val="40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dowiedz się więcej: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spacing w:after="0" w:line="240" w:lineRule="auto"/>
        <w:ind w:left="720" w:hanging="360"/>
        <w:rPr>
          <w:rFonts w:ascii="Rubik" w:cs="Rubik" w:eastAsia="Rubik" w:hAnsi="Rubik"/>
        </w:rPr>
      </w:pPr>
      <w:hyperlink r:id="rId7">
        <w:r w:rsidDel="00000000" w:rsidR="00000000" w:rsidRPr="00000000">
          <w:rPr>
            <w:rFonts w:ascii="Rubik" w:cs="Rubik" w:eastAsia="Rubik" w:hAnsi="Rubik"/>
            <w:color w:val="1155cc"/>
            <w:u w:val="single"/>
            <w:rtl w:val="0"/>
          </w:rPr>
          <w:t xml:space="preserve">http://fdc.org.pl/wcag2/#intro</w:t>
        </w:r>
      </w:hyperlink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spacing w:after="0" w:line="240" w:lineRule="auto"/>
        <w:ind w:left="720" w:hanging="360"/>
        <w:rPr>
          <w:rFonts w:ascii="Rubik" w:cs="Rubik" w:eastAsia="Rubik" w:hAnsi="Rubik"/>
        </w:rPr>
      </w:pPr>
      <w:hyperlink r:id="rId8">
        <w:r w:rsidDel="00000000" w:rsidR="00000000" w:rsidRPr="00000000">
          <w:rPr>
            <w:rFonts w:ascii="Rubik" w:cs="Rubik" w:eastAsia="Rubik" w:hAnsi="Rubik"/>
            <w:color w:val="1155cc"/>
            <w:u w:val="single"/>
            <w:rtl w:val="0"/>
          </w:rPr>
          <w:t xml:space="preserve">http://internet-bez-barier.com/wcag-2-0-czyli-wytyczne-dotyczace-dostepnosci-tresci-internetowych/</w:t>
        </w:r>
      </w:hyperlink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72">
      <w:pPr>
        <w:numPr>
          <w:ilvl w:val="0"/>
          <w:numId w:val="13"/>
        </w:numPr>
        <w:spacing w:after="0" w:line="240" w:lineRule="auto"/>
        <w:ind w:left="720" w:hanging="360"/>
        <w:rPr>
          <w:rFonts w:ascii="Rubik" w:cs="Rubik" w:eastAsia="Rubik" w:hAnsi="Rubik"/>
        </w:rPr>
      </w:pPr>
      <w:hyperlink r:id="rId9">
        <w:r w:rsidDel="00000000" w:rsidR="00000000" w:rsidRPr="00000000">
          <w:rPr>
            <w:rFonts w:ascii="Rubik" w:cs="Rubik" w:eastAsia="Rubik" w:hAnsi="Rubik"/>
            <w:color w:val="1155cc"/>
            <w:u w:val="single"/>
            <w:rtl w:val="0"/>
          </w:rPr>
          <w:t xml:space="preserve">http://contrast-ratio.com/</w:t>
        </w:r>
      </w:hyperlink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spacing w:after="0" w:line="240" w:lineRule="auto"/>
        <w:ind w:left="720" w:hanging="360"/>
        <w:rPr>
          <w:rFonts w:ascii="Rubik" w:cs="Rubik" w:eastAsia="Rubik" w:hAnsi="Rubik"/>
        </w:rPr>
      </w:pPr>
      <w:hyperlink r:id="rId10">
        <w:r w:rsidDel="00000000" w:rsidR="00000000" w:rsidRPr="00000000">
          <w:rPr>
            <w:rFonts w:ascii="Rubik" w:cs="Rubik" w:eastAsia="Rubik" w:hAnsi="Rubik"/>
            <w:color w:val="1155cc"/>
            <w:u w:val="single"/>
            <w:rtl w:val="0"/>
          </w:rPr>
          <w:t xml:space="preserve">http://www.niepelnosprawni.gov.pl/art,60,dostepnosc-serwisow-internetowych</w:t>
        </w:r>
      </w:hyperlink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74">
      <w:pPr>
        <w:numPr>
          <w:ilvl w:val="0"/>
          <w:numId w:val="13"/>
        </w:numPr>
        <w:spacing w:after="0" w:line="240" w:lineRule="auto"/>
        <w:ind w:left="720" w:hanging="360"/>
        <w:rPr>
          <w:rFonts w:ascii="Rubik" w:cs="Rubik" w:eastAsia="Rubik" w:hAnsi="Rubik"/>
        </w:rPr>
      </w:pPr>
      <w:hyperlink r:id="rId11">
        <w:r w:rsidDel="00000000" w:rsidR="00000000" w:rsidRPr="00000000">
          <w:rPr>
            <w:rFonts w:ascii="Rubik" w:cs="Rubik" w:eastAsia="Rubik" w:hAnsi="Rubik"/>
            <w:color w:val="1155cc"/>
            <w:u w:val="single"/>
            <w:rtl w:val="0"/>
          </w:rPr>
          <w:t xml:space="preserve">http://insideaccessibility.blogspot.com/2015/03/basic-web-accessibility-for-low-vision-users.html</w:t>
        </w:r>
      </w:hyperlink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75">
      <w:pPr>
        <w:numPr>
          <w:ilvl w:val="0"/>
          <w:numId w:val="13"/>
        </w:numPr>
        <w:spacing w:after="0" w:line="240" w:lineRule="auto"/>
        <w:ind w:left="720" w:hanging="360"/>
        <w:rPr>
          <w:rFonts w:ascii="Rubik" w:cs="Rubik" w:eastAsia="Rubik" w:hAnsi="Rubik"/>
        </w:rPr>
      </w:pPr>
      <w:hyperlink r:id="rId12">
        <w:r w:rsidDel="00000000" w:rsidR="00000000" w:rsidRPr="00000000">
          <w:rPr>
            <w:rFonts w:ascii="Rubik" w:cs="Rubik" w:eastAsia="Rubik" w:hAnsi="Rubik"/>
            <w:color w:val="1155cc"/>
            <w:u w:val="single"/>
            <w:rtl w:val="0"/>
          </w:rPr>
          <w:t xml:space="preserve">http://insideaccessibility.blogspot.com/2016/03/accessible-charts-and-diagrams.html</w:t>
        </w:r>
      </w:hyperlink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76">
      <w:pPr>
        <w:numPr>
          <w:ilvl w:val="0"/>
          <w:numId w:val="13"/>
        </w:numPr>
        <w:spacing w:after="0" w:line="240" w:lineRule="auto"/>
        <w:ind w:left="720" w:hanging="360"/>
        <w:rPr>
          <w:rFonts w:ascii="Rubik" w:cs="Rubik" w:eastAsia="Rubik" w:hAnsi="Rubik"/>
        </w:rPr>
      </w:pPr>
      <w:hyperlink r:id="rId13">
        <w:r w:rsidDel="00000000" w:rsidR="00000000" w:rsidRPr="00000000">
          <w:rPr>
            <w:rFonts w:ascii="Rubik" w:cs="Rubik" w:eastAsia="Rubik" w:hAnsi="Rubik"/>
            <w:color w:val="1155cc"/>
            <w:u w:val="single"/>
            <w:rtl w:val="0"/>
          </w:rPr>
          <w:t xml:space="preserve">https://www.akcessnet.eu/oferta/strony-www/tworzenie-stron-dostepnych-dla-niepelnosprawnych/metody-sprawdzania-dostepnosci-stron-internetowych/</w:t>
        </w:r>
      </w:hyperlink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200" w:line="276" w:lineRule="auto"/>
        <w:contextualSpacing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418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v3w9tefo504k" w:id="0"/>
      <w:bookmarkEnd w:id="0"/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/>
      <w:pgMar w:bottom="1417" w:top="3261" w:left="709" w:right="849" w:header="708" w:footer="16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147320</wp:posOffset>
          </wp:positionH>
          <wp:positionV relativeFrom="paragraph">
            <wp:posOffset>320040</wp:posOffset>
          </wp:positionV>
          <wp:extent cx="456565" cy="531495"/>
          <wp:effectExtent b="0" l="0" r="0" t="0"/>
          <wp:wrapSquare wrapText="bothSides" distB="0" distT="0" distL="0" distR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6565" cy="531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4889500</wp:posOffset>
              </wp:positionH>
              <wp:positionV relativeFrom="paragraph">
                <wp:posOffset>261620</wp:posOffset>
              </wp:positionV>
              <wp:extent cx="1818005" cy="141084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41760" y="3078643"/>
                        <a:ext cx="1808480" cy="140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Projekt realizowany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przez Centrum Cyfrowe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ze środków Hewllet Foundation </w:t>
                          </w: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 Open Society Foundations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4889500</wp:posOffset>
              </wp:positionH>
              <wp:positionV relativeFrom="paragraph">
                <wp:posOffset>261620</wp:posOffset>
              </wp:positionV>
              <wp:extent cx="1818005" cy="141084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8005" cy="14108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38101</wp:posOffset>
              </wp:positionH>
              <wp:positionV relativeFrom="paragraph">
                <wp:posOffset>-12699</wp:posOffset>
              </wp:positionV>
              <wp:extent cx="6543675" cy="222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074163" y="3775028"/>
                        <a:ext cx="6543675" cy="9945"/>
                      </a:xfrm>
                      <a:prstGeom prst="straightConnector1">
                        <a:avLst/>
                      </a:prstGeom>
                      <a:noFill/>
                      <a:ln cap="flat" cmpd="sng" w="22225">
                        <a:solidFill>
                          <a:srgbClr val="CAAC5C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38101</wp:posOffset>
              </wp:positionH>
              <wp:positionV relativeFrom="paragraph">
                <wp:posOffset>-12699</wp:posOffset>
              </wp:positionV>
              <wp:extent cx="6543675" cy="222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36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-876299</wp:posOffset>
          </wp:positionH>
          <wp:positionV relativeFrom="paragraph">
            <wp:posOffset>-447674</wp:posOffset>
          </wp:positionV>
          <wp:extent cx="1304417" cy="945832"/>
          <wp:effectExtent b="0" l="0" r="0" t="0"/>
          <wp:wrapSquare wrapText="bothSides" distB="0" distT="0" distL="0" distR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417" cy="9458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insideaccessibility.blogspot.com/2015/03/basic-web-accessibility-for-low-vision-users.html" TargetMode="External"/><Relationship Id="rId10" Type="http://schemas.openxmlformats.org/officeDocument/2006/relationships/hyperlink" Target="http://www.niepelnosprawni.gov.pl/art,60,dostepnosc-serwisow-internetowych" TargetMode="External"/><Relationship Id="rId13" Type="http://schemas.openxmlformats.org/officeDocument/2006/relationships/hyperlink" Target="https://www.akcessnet.eu/oferta/strony-www/tworzenie-stron-dostepnych-dla-niepelnosprawnych/metody-sprawdzania-dostepnosci-stron-internetowych/" TargetMode="External"/><Relationship Id="rId12" Type="http://schemas.openxmlformats.org/officeDocument/2006/relationships/hyperlink" Target="http://insideaccessibility.blogspot.com/2016/03/accessible-charts-and-diagram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ntrast-ratio.com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contrast-ratio.com/" TargetMode="External"/><Relationship Id="rId7" Type="http://schemas.openxmlformats.org/officeDocument/2006/relationships/hyperlink" Target="http://fdc.org.pl/wcag2/#intro" TargetMode="External"/><Relationship Id="rId8" Type="http://schemas.openxmlformats.org/officeDocument/2006/relationships/hyperlink" Target="http://internet-bez-barier.com/wcag-2-0-czyli-wytyczne-dotyczace-dostepnosci-tresci-internetowych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